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основы обучения</w:t>
            </w:r>
          </w:p>
          <w:p>
            <w:pPr>
              <w:jc w:val="center"/>
              <w:spacing w:after="0" w:line="240" w:lineRule="auto"/>
              <w:rPr>
                <w:sz w:val="32"/>
                <w:szCs w:val="32"/>
              </w:rPr>
            </w:pPr>
            <w:r>
              <w:rPr>
                <w:rFonts w:ascii="Times New Roman" w:hAnsi="Times New Roman" w:cs="Times New Roman"/>
                <w:color w:val="#000000"/>
                <w:sz w:val="32"/>
                <w:szCs w:val="32"/>
              </w:rPr>
              <w:t> Б1.В.01.03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основы обучения»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Б1.В.01.03 «Современные основы обучения».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основы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траектории своего профессионального роста и личностного развития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цели своего профессионального и личностного развития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осуществлять отбор средств реализации программ профессионального и личностного роста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разработки программы профессионального и личностного роста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Б1.В.01.03 «Современные основы обучения» относится к обязательной части, является дисциплиной Блока Б1. «Дисциплины (модули)». Модуль "Методический"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школы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и воспитания (историческое образование)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ПК-1,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процесс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как способ организации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Психическая структура</w:t>
            </w:r>
          </w:p>
          <w:p>
            <w:pPr>
              <w:jc w:val="left"/>
              <w:spacing w:after="0" w:line="240" w:lineRule="auto"/>
              <w:rPr>
                <w:sz w:val="24"/>
                <w:szCs w:val="24"/>
              </w:rPr>
            </w:pPr>
            <w:r>
              <w:rPr>
                <w:rFonts w:ascii="Times New Roman" w:hAnsi="Times New Roman" w:cs="Times New Roman"/>
                <w:color w:val="#000000"/>
                <w:sz w:val="24"/>
                <w:szCs w:val="24"/>
              </w:rPr>
              <w:t> личности и закономерности ее</w:t>
            </w:r>
          </w:p>
          <w:p>
            <w:pPr>
              <w:jc w:val="left"/>
              <w:spacing w:after="0" w:line="240" w:lineRule="auto"/>
              <w:rPr>
                <w:sz w:val="24"/>
                <w:szCs w:val="24"/>
              </w:rPr>
            </w:pPr>
            <w:r>
              <w:rPr>
                <w:rFonts w:ascii="Times New Roman" w:hAnsi="Times New Roman" w:cs="Times New Roman"/>
                <w:color w:val="#000000"/>
                <w:sz w:val="24"/>
                <w:szCs w:val="24"/>
              </w:rPr>
              <w:t> развития в контексте</w:t>
            </w:r>
          </w:p>
          <w:p>
            <w:pPr>
              <w:jc w:val="left"/>
              <w:spacing w:after="0" w:line="240" w:lineRule="auto"/>
              <w:rPr>
                <w:sz w:val="24"/>
                <w:szCs w:val="24"/>
              </w:rPr>
            </w:pPr>
            <w:r>
              <w:rPr>
                <w:rFonts w:ascii="Times New Roman" w:hAnsi="Times New Roman" w:cs="Times New Roman"/>
                <w:color w:val="#000000"/>
                <w:sz w:val="24"/>
                <w:szCs w:val="24"/>
              </w:rPr>
              <w:t>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 развитие</w:t>
            </w:r>
          </w:p>
          <w:p>
            <w:pPr>
              <w:jc w:val="left"/>
              <w:spacing w:after="0" w:line="240" w:lineRule="auto"/>
              <w:rPr>
                <w:sz w:val="24"/>
                <w:szCs w:val="24"/>
              </w:rPr>
            </w:pPr>
            <w:r>
              <w:rPr>
                <w:rFonts w:ascii="Times New Roman" w:hAnsi="Times New Roman" w:cs="Times New Roman"/>
                <w:color w:val="#000000"/>
                <w:sz w:val="24"/>
                <w:szCs w:val="24"/>
              </w:rPr>
              <w:t> приёмов учебной</w:t>
            </w:r>
          </w:p>
          <w:p>
            <w:pPr>
              <w:jc w:val="left"/>
              <w:spacing w:after="0" w:line="240" w:lineRule="auto"/>
              <w:rPr>
                <w:sz w:val="24"/>
                <w:szCs w:val="24"/>
              </w:rPr>
            </w:pPr>
            <w:r>
              <w:rPr>
                <w:rFonts w:ascii="Times New Roman" w:hAnsi="Times New Roman" w:cs="Times New Roman"/>
                <w:color w:val="#000000"/>
                <w:sz w:val="24"/>
                <w:szCs w:val="24"/>
              </w:rPr>
              <w:t> деятельности в процессе</w:t>
            </w:r>
          </w:p>
          <w:p>
            <w:pPr>
              <w:jc w:val="left"/>
              <w:spacing w:after="0" w:line="240" w:lineRule="auto"/>
              <w:rPr>
                <w:sz w:val="24"/>
                <w:szCs w:val="24"/>
              </w:rPr>
            </w:pPr>
            <w:r>
              <w:rPr>
                <w:rFonts w:ascii="Times New Roman" w:hAnsi="Times New Roman" w:cs="Times New Roman"/>
                <w:color w:val="#000000"/>
                <w:sz w:val="24"/>
                <w:szCs w:val="24"/>
              </w:rPr>
              <w:t>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дидактичсеких принципов  и их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w:t>
            </w:r>
          </w:p>
          <w:p>
            <w:pPr>
              <w:jc w:val="left"/>
              <w:spacing w:after="0" w:line="240" w:lineRule="auto"/>
              <w:rPr>
                <w:sz w:val="24"/>
                <w:szCs w:val="24"/>
              </w:rPr>
            </w:pPr>
            <w:r>
              <w:rPr>
                <w:rFonts w:ascii="Times New Roman" w:hAnsi="Times New Roman" w:cs="Times New Roman"/>
                <w:color w:val="#000000"/>
                <w:sz w:val="24"/>
                <w:szCs w:val="24"/>
              </w:rPr>
              <w:t> образования и его</w:t>
            </w:r>
          </w:p>
          <w:p>
            <w:pPr>
              <w:jc w:val="left"/>
              <w:spacing w:after="0" w:line="240" w:lineRule="auto"/>
              <w:rPr>
                <w:sz w:val="24"/>
                <w:szCs w:val="24"/>
              </w:rPr>
            </w:pPr>
            <w:r>
              <w:rPr>
                <w:rFonts w:ascii="Times New Roman" w:hAnsi="Times New Roman" w:cs="Times New Roman"/>
                <w:color w:val="#000000"/>
                <w:sz w:val="24"/>
                <w:szCs w:val="24"/>
              </w:rPr>
              <w:t> составляющие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обучения: сущность, функции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основных форм и средств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Урок как</w:t>
            </w:r>
          </w:p>
          <w:p>
            <w:pPr>
              <w:jc w:val="left"/>
              <w:spacing w:after="0" w:line="240" w:lineRule="auto"/>
              <w:rPr>
                <w:sz w:val="24"/>
                <w:szCs w:val="24"/>
              </w:rPr>
            </w:pPr>
            <w:r>
              <w:rPr>
                <w:rFonts w:ascii="Times New Roman" w:hAnsi="Times New Roman" w:cs="Times New Roman"/>
                <w:color w:val="#000000"/>
                <w:sz w:val="24"/>
                <w:szCs w:val="24"/>
              </w:rPr>
              <w:t> основная форма</w:t>
            </w:r>
          </w:p>
          <w:p>
            <w:pPr>
              <w:jc w:val="left"/>
              <w:spacing w:after="0" w:line="240" w:lineRule="auto"/>
              <w:rPr>
                <w:sz w:val="24"/>
                <w:szCs w:val="24"/>
              </w:rPr>
            </w:pPr>
            <w:r>
              <w:rPr>
                <w:rFonts w:ascii="Times New Roman" w:hAnsi="Times New Roman" w:cs="Times New Roman"/>
                <w:color w:val="#000000"/>
                <w:sz w:val="24"/>
                <w:szCs w:val="24"/>
              </w:rPr>
              <w:t> организации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педагогической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Исследовательские и поисковые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Модульное и концентрированное обучение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дифференцированного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Диалоговые и дискуссионные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компьютерного обучения и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239.7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процесс как система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как способ организации педагогического процесса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Психическая структура</w:t>
            </w:r>
          </w:p>
          <w:p>
            <w:pPr>
              <w:jc w:val="center"/>
              <w:spacing w:after="0" w:line="240" w:lineRule="auto"/>
              <w:rPr>
                <w:sz w:val="24"/>
                <w:szCs w:val="24"/>
              </w:rPr>
            </w:pPr>
            <w:r>
              <w:rPr>
                <w:rFonts w:ascii="Times New Roman" w:hAnsi="Times New Roman" w:cs="Times New Roman"/>
                <w:b/>
                <w:color w:val="#000000"/>
                <w:sz w:val="24"/>
                <w:szCs w:val="24"/>
              </w:rPr>
              <w:t> личности и закономерности ее</w:t>
            </w:r>
          </w:p>
          <w:p>
            <w:pPr>
              <w:jc w:val="center"/>
              <w:spacing w:after="0" w:line="240" w:lineRule="auto"/>
              <w:rPr>
                <w:sz w:val="24"/>
                <w:szCs w:val="24"/>
              </w:rPr>
            </w:pPr>
            <w:r>
              <w:rPr>
                <w:rFonts w:ascii="Times New Roman" w:hAnsi="Times New Roman" w:cs="Times New Roman"/>
                <w:b/>
                <w:color w:val="#000000"/>
                <w:sz w:val="24"/>
                <w:szCs w:val="24"/>
              </w:rPr>
              <w:t> развития в контексте</w:t>
            </w:r>
          </w:p>
          <w:p>
            <w:pPr>
              <w:jc w:val="center"/>
              <w:spacing w:after="0" w:line="240" w:lineRule="auto"/>
              <w:rPr>
                <w:sz w:val="24"/>
                <w:szCs w:val="24"/>
              </w:rPr>
            </w:pPr>
            <w:r>
              <w:rPr>
                <w:rFonts w:ascii="Times New Roman" w:hAnsi="Times New Roman" w:cs="Times New Roman"/>
                <w:b/>
                <w:color w:val="#000000"/>
                <w:sz w:val="24"/>
                <w:szCs w:val="24"/>
              </w:rPr>
              <w:t> обучения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и развитие</w:t>
            </w:r>
          </w:p>
          <w:p>
            <w:pPr>
              <w:jc w:val="center"/>
              <w:spacing w:after="0" w:line="240" w:lineRule="auto"/>
              <w:rPr>
                <w:sz w:val="24"/>
                <w:szCs w:val="24"/>
              </w:rPr>
            </w:pPr>
            <w:r>
              <w:rPr>
                <w:rFonts w:ascii="Times New Roman" w:hAnsi="Times New Roman" w:cs="Times New Roman"/>
                <w:b/>
                <w:color w:val="#000000"/>
                <w:sz w:val="24"/>
                <w:szCs w:val="24"/>
              </w:rPr>
              <w:t> приёмов учебной</w:t>
            </w:r>
          </w:p>
          <w:p>
            <w:pPr>
              <w:jc w:val="center"/>
              <w:spacing w:after="0" w:line="240" w:lineRule="auto"/>
              <w:rPr>
                <w:sz w:val="24"/>
                <w:szCs w:val="24"/>
              </w:rPr>
            </w:pPr>
            <w:r>
              <w:rPr>
                <w:rFonts w:ascii="Times New Roman" w:hAnsi="Times New Roman" w:cs="Times New Roman"/>
                <w:b/>
                <w:color w:val="#000000"/>
                <w:sz w:val="24"/>
                <w:szCs w:val="24"/>
              </w:rPr>
              <w:t> деятельности в процессе</w:t>
            </w:r>
          </w:p>
          <w:p>
            <w:pPr>
              <w:jc w:val="center"/>
              <w:spacing w:after="0" w:line="240" w:lineRule="auto"/>
              <w:rPr>
                <w:sz w:val="24"/>
                <w:szCs w:val="24"/>
              </w:rPr>
            </w:pPr>
            <w:r>
              <w:rPr>
                <w:rFonts w:ascii="Times New Roman" w:hAnsi="Times New Roman" w:cs="Times New Roman"/>
                <w:b/>
                <w:color w:val="#000000"/>
                <w:sz w:val="24"/>
                <w:szCs w:val="24"/>
              </w:rPr>
              <w:t> обучения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дидактичсеких принципов  и их содержание</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p>
            <w:pPr>
              <w:jc w:val="center"/>
              <w:spacing w:after="0" w:line="240" w:lineRule="auto"/>
              <w:rPr>
                <w:sz w:val="24"/>
                <w:szCs w:val="24"/>
              </w:rPr>
            </w:pPr>
            <w:r>
              <w:rPr>
                <w:rFonts w:ascii="Times New Roman" w:hAnsi="Times New Roman" w:cs="Times New Roman"/>
                <w:b/>
                <w:color w:val="#000000"/>
                <w:sz w:val="24"/>
                <w:szCs w:val="24"/>
              </w:rPr>
              <w:t> образования и его</w:t>
            </w:r>
          </w:p>
          <w:p>
            <w:pPr>
              <w:jc w:val="center"/>
              <w:spacing w:after="0" w:line="240" w:lineRule="auto"/>
              <w:rPr>
                <w:sz w:val="24"/>
                <w:szCs w:val="24"/>
              </w:rPr>
            </w:pPr>
            <w:r>
              <w:rPr>
                <w:rFonts w:ascii="Times New Roman" w:hAnsi="Times New Roman" w:cs="Times New Roman"/>
                <w:b/>
                <w:color w:val="#000000"/>
                <w:sz w:val="24"/>
                <w:szCs w:val="24"/>
              </w:rPr>
              <w:t> составляющие</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обучения: сущность, функции и классификация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основных форм и средств обучения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Урок как</w:t>
            </w:r>
          </w:p>
          <w:p>
            <w:pPr>
              <w:jc w:val="center"/>
              <w:spacing w:after="0" w:line="240" w:lineRule="auto"/>
              <w:rPr>
                <w:sz w:val="24"/>
                <w:szCs w:val="24"/>
              </w:rPr>
            </w:pPr>
            <w:r>
              <w:rPr>
                <w:rFonts w:ascii="Times New Roman" w:hAnsi="Times New Roman" w:cs="Times New Roman"/>
                <w:b/>
                <w:color w:val="#000000"/>
                <w:sz w:val="24"/>
                <w:szCs w:val="24"/>
              </w:rPr>
              <w:t> основная форма</w:t>
            </w:r>
          </w:p>
          <w:p>
            <w:pPr>
              <w:jc w:val="center"/>
              <w:spacing w:after="0" w:line="240" w:lineRule="auto"/>
              <w:rPr>
                <w:sz w:val="24"/>
                <w:szCs w:val="24"/>
              </w:rPr>
            </w:pPr>
            <w:r>
              <w:rPr>
                <w:rFonts w:ascii="Times New Roman" w:hAnsi="Times New Roman" w:cs="Times New Roman"/>
                <w:b/>
                <w:color w:val="#000000"/>
                <w:sz w:val="24"/>
                <w:szCs w:val="24"/>
              </w:rPr>
              <w:t> организации обучения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педагогической  технологии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Исследовательские и поисковые технологии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Модульное и концентрированное обучение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дифференцированного обучения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Диалоговые и дискуссионные технологии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компьютерного обучения и контроля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основы обучения» / Корпачева Л.Н..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Использование</w:t>
            </w:r>
            <w:r>
              <w:rPr/>
              <w:t xml:space="preserve"> </w:t>
            </w:r>
            <w:r>
              <w:rPr>
                <w:rFonts w:ascii="Times New Roman" w:hAnsi="Times New Roman" w:cs="Times New Roman"/>
                <w:color w:val="#000000"/>
                <w:sz w:val="24"/>
                <w:szCs w:val="24"/>
              </w:rPr>
              <w:t>информационно-коммуникационных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Чиркова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978-5-4487-0238-9.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http://www.iprbookshop.ru/75273.html</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http://www.iprbookshop.ru/85831.html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Жакупова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Алматы:</w:t>
            </w:r>
            <w:r>
              <w:rPr/>
              <w:t xml:space="preserve"> </w:t>
            </w:r>
            <w:r>
              <w:rPr>
                <w:rFonts w:ascii="Times New Roman" w:hAnsi="Times New Roman" w:cs="Times New Roman"/>
                <w:color w:val="#000000"/>
                <w:sz w:val="24"/>
                <w:szCs w:val="24"/>
              </w:rPr>
              <w:t>Казахский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аль-Фараби,</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978-601-04-0190-7.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http://www.iprbookshop.ru/59844.html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прошлого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будущему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Глебов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978-5-9935-0386-8.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http://www.iprbookshop.ru/84398.html</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8.46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26.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09.3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871.4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2023-2024_ФГОС3++2023_Бак-ОФО-ПО(МО)(23)_plx_Современные основы обучения</dc:title>
  <dc:creator>FastReport.NET</dc:creator>
</cp:coreProperties>
</file>